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5F" w:rsidRPr="009A225F" w:rsidRDefault="009A225F" w:rsidP="009A225F">
      <w:pPr>
        <w:spacing w:after="0" w:line="343" w:lineRule="atLeast"/>
        <w:rPr>
          <w:rFonts w:ascii="Times New Roman" w:eastAsia="Times New Roman" w:hAnsi="Times New Roman" w:cs="Times New Roman"/>
          <w:color w:val="666666"/>
          <w:sz w:val="19"/>
          <w:szCs w:val="19"/>
          <w:lang w:eastAsia="nl-BE"/>
        </w:rPr>
      </w:pPr>
      <w:r w:rsidRPr="009A225F">
        <w:rPr>
          <w:rFonts w:ascii="Times New Roman" w:eastAsia="Times New Roman" w:hAnsi="Times New Roman" w:cs="Times New Roman"/>
          <w:color w:val="666666"/>
          <w:sz w:val="19"/>
          <w:szCs w:val="19"/>
          <w:lang w:eastAsia="nl-BE"/>
        </w:rPr>
        <w:t>U bent hier</w:t>
      </w:r>
    </w:p>
    <w:p w:rsidR="009A225F" w:rsidRPr="009A225F" w:rsidRDefault="009A225F" w:rsidP="009A225F">
      <w:pPr>
        <w:numPr>
          <w:ilvl w:val="0"/>
          <w:numId w:val="1"/>
        </w:numPr>
        <w:spacing w:before="100" w:beforeAutospacing="1" w:after="0" w:line="343" w:lineRule="atLeast"/>
        <w:ind w:left="461"/>
        <w:rPr>
          <w:rFonts w:ascii="Times New Roman" w:eastAsia="Times New Roman" w:hAnsi="Times New Roman" w:cs="Times New Roman"/>
          <w:color w:val="666666"/>
          <w:sz w:val="19"/>
          <w:szCs w:val="19"/>
          <w:lang w:eastAsia="nl-BE"/>
        </w:rPr>
      </w:pPr>
      <w:hyperlink r:id="rId5" w:history="1">
        <w:r w:rsidRPr="009A225F">
          <w:rPr>
            <w:rFonts w:ascii="a" w:eastAsia="Times New Roman" w:hAnsi="a" w:cs="Times New Roman"/>
            <w:color w:val="557797"/>
            <w:sz w:val="2"/>
            <w:szCs w:val="2"/>
            <w:u w:val="single"/>
            <w:lang w:eastAsia="nl-BE"/>
          </w:rPr>
          <w:t>Home</w:t>
        </w:r>
      </w:hyperlink>
    </w:p>
    <w:p w:rsidR="009A225F" w:rsidRPr="009A225F" w:rsidRDefault="009A225F" w:rsidP="009A225F">
      <w:pPr>
        <w:numPr>
          <w:ilvl w:val="0"/>
          <w:numId w:val="1"/>
        </w:numPr>
        <w:spacing w:before="100" w:beforeAutospacing="1" w:after="0" w:line="343" w:lineRule="atLeast"/>
        <w:ind w:left="461"/>
        <w:rPr>
          <w:rFonts w:ascii="Times New Roman" w:eastAsia="Times New Roman" w:hAnsi="Times New Roman" w:cs="Times New Roman"/>
          <w:color w:val="666666"/>
          <w:sz w:val="19"/>
          <w:szCs w:val="19"/>
          <w:lang w:eastAsia="nl-BE"/>
        </w:rPr>
      </w:pPr>
      <w:hyperlink r:id="rId6" w:history="1">
        <w:r w:rsidRPr="009A225F">
          <w:rPr>
            <w:rFonts w:ascii="Times New Roman" w:eastAsia="Times New Roman" w:hAnsi="Times New Roman" w:cs="Times New Roman"/>
            <w:color w:val="557797"/>
            <w:sz w:val="19"/>
            <w:szCs w:val="19"/>
            <w:u w:val="single"/>
            <w:lang w:eastAsia="nl-BE"/>
          </w:rPr>
          <w:t>Bouwen, wonen en energie</w:t>
        </w:r>
      </w:hyperlink>
    </w:p>
    <w:p w:rsidR="009A225F" w:rsidRPr="009A225F" w:rsidRDefault="009A225F" w:rsidP="009A225F">
      <w:pPr>
        <w:numPr>
          <w:ilvl w:val="0"/>
          <w:numId w:val="1"/>
        </w:numPr>
        <w:spacing w:before="100" w:beforeAutospacing="1" w:after="0" w:line="343" w:lineRule="atLeast"/>
        <w:ind w:left="461"/>
        <w:rPr>
          <w:rFonts w:ascii="Times New Roman" w:eastAsia="Times New Roman" w:hAnsi="Times New Roman" w:cs="Times New Roman"/>
          <w:color w:val="666666"/>
          <w:sz w:val="19"/>
          <w:szCs w:val="19"/>
          <w:lang w:eastAsia="nl-BE"/>
        </w:rPr>
      </w:pPr>
      <w:hyperlink r:id="rId7" w:anchor="kopen-en-verkopen" w:history="1">
        <w:r w:rsidRPr="009A225F">
          <w:rPr>
            <w:rFonts w:ascii="Times New Roman" w:eastAsia="Times New Roman" w:hAnsi="Times New Roman" w:cs="Times New Roman"/>
            <w:color w:val="557797"/>
            <w:sz w:val="19"/>
            <w:szCs w:val="19"/>
            <w:u w:val="single"/>
            <w:lang w:eastAsia="nl-BE"/>
          </w:rPr>
          <w:t>Kopen en verkopen</w:t>
        </w:r>
      </w:hyperlink>
    </w:p>
    <w:p w:rsidR="009A225F" w:rsidRPr="009A225F" w:rsidRDefault="009A225F" w:rsidP="009A225F">
      <w:pPr>
        <w:numPr>
          <w:ilvl w:val="0"/>
          <w:numId w:val="1"/>
        </w:numPr>
        <w:spacing w:before="100" w:beforeAutospacing="1" w:after="0" w:line="343" w:lineRule="atLeast"/>
        <w:ind w:left="461"/>
        <w:rPr>
          <w:rFonts w:ascii="Times New Roman" w:eastAsia="Times New Roman" w:hAnsi="Times New Roman" w:cs="Times New Roman"/>
          <w:color w:val="666666"/>
          <w:sz w:val="19"/>
          <w:szCs w:val="19"/>
          <w:lang w:eastAsia="nl-BE"/>
        </w:rPr>
      </w:pPr>
      <w:r w:rsidRPr="009A225F">
        <w:rPr>
          <w:rFonts w:ascii="Times New Roman" w:eastAsia="Times New Roman" w:hAnsi="Times New Roman" w:cs="Times New Roman"/>
          <w:color w:val="666666"/>
          <w:sz w:val="19"/>
          <w:szCs w:val="19"/>
          <w:lang w:eastAsia="nl-BE"/>
        </w:rPr>
        <w:t>Vermindering van de onroerende voorheffing voor een energiezuinige nieuwbouwwoning</w:t>
      </w:r>
    </w:p>
    <w:p w:rsidR="009A225F" w:rsidRPr="009A225F" w:rsidRDefault="009A225F" w:rsidP="009A225F">
      <w:pPr>
        <w:spacing w:before="175" w:after="154" w:line="250" w:lineRule="atLeast"/>
        <w:ind w:left="461" w:right="-15360"/>
        <w:jc w:val="center"/>
        <w:outlineLvl w:val="0"/>
        <w:rPr>
          <w:rFonts w:ascii="flanders-serif-light" w:eastAsia="Times New Roman" w:hAnsi="flanders-serif-light" w:cs="Times New Roman"/>
          <w:kern w:val="36"/>
          <w:sz w:val="64"/>
          <w:szCs w:val="64"/>
          <w:lang w:eastAsia="nl-BE"/>
        </w:rPr>
      </w:pPr>
      <w:r w:rsidRPr="009A225F">
        <w:rPr>
          <w:rFonts w:ascii="flanders-serif-light" w:eastAsia="Times New Roman" w:hAnsi="flanders-serif-light" w:cs="Times New Roman"/>
          <w:kern w:val="36"/>
          <w:sz w:val="64"/>
          <w:szCs w:val="64"/>
          <w:lang w:eastAsia="nl-BE"/>
        </w:rPr>
        <w:t>Vermindering van de onroerende voorheffing voor een energiezuinige nieuwbouwwoning</w:t>
      </w:r>
    </w:p>
    <w:p w:rsidR="009A225F" w:rsidRPr="009A225F" w:rsidRDefault="009A225F" w:rsidP="009A225F">
      <w:pPr>
        <w:spacing w:after="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hyperlink r:id="rId8" w:history="1">
        <w:r w:rsidRPr="009A225F">
          <w:rPr>
            <w:rFonts w:ascii="flanders-sans" w:eastAsia="Times New Roman" w:hAnsi="flanders-sans" w:cs="Times New Roman"/>
            <w:color w:val="557797"/>
            <w:sz w:val="27"/>
            <w:szCs w:val="27"/>
            <w:lang w:eastAsia="nl-BE"/>
          </w:rPr>
          <w:t>Lees deze pagina voor</w:t>
        </w:r>
      </w:hyperlink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Sinds het aanslagjaar 2009 kunt u vermindering krijgen van de onroerende voorheffing die betrekking heeft op een energiezuinige woning of gebouw.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Deze vermindering wordt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automatisch toegekend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op uw aanslagbiljet. U hoeft dus zelf niets te ondernemen. De eigenaar hoeft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niet gedomicilieerd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te zijn in de woning of het gebouw en het kan hier ook gaan om een tweede verblijf.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vermindering van de onroerende voorheffing wordt u toegekend op basis van het E-peil van de woning. Het E-peil is een maat voor de energieprestatie van een woning en de vaste installaties ervan in standaardomstandigheden. Hoe lager het E-peil, hoe energiezuiniger de woning is.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Het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E-peil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hangt af van:</w:t>
      </w:r>
    </w:p>
    <w:p w:rsidR="009A225F" w:rsidRPr="009A225F" w:rsidRDefault="009A225F" w:rsidP="009A225F">
      <w:pPr>
        <w:numPr>
          <w:ilvl w:val="0"/>
          <w:numId w:val="2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compactheid</w:t>
      </w:r>
    </w:p>
    <w:p w:rsidR="009A225F" w:rsidRPr="009A225F" w:rsidRDefault="009A225F" w:rsidP="009A225F">
      <w:pPr>
        <w:numPr>
          <w:ilvl w:val="0"/>
          <w:numId w:val="2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thermische isolatie</w:t>
      </w:r>
    </w:p>
    <w:p w:rsidR="009A225F" w:rsidRPr="009A225F" w:rsidRDefault="009A225F" w:rsidP="009A225F">
      <w:pPr>
        <w:numPr>
          <w:ilvl w:val="0"/>
          <w:numId w:val="2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luchtdichtheid</w:t>
      </w:r>
    </w:p>
    <w:p w:rsidR="009A225F" w:rsidRPr="009A225F" w:rsidRDefault="009A225F" w:rsidP="009A225F">
      <w:pPr>
        <w:numPr>
          <w:ilvl w:val="0"/>
          <w:numId w:val="2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ventilatie</w:t>
      </w:r>
    </w:p>
    <w:p w:rsidR="009A225F" w:rsidRPr="009A225F" w:rsidRDefault="009A225F" w:rsidP="009A225F">
      <w:pPr>
        <w:numPr>
          <w:ilvl w:val="0"/>
          <w:numId w:val="2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verwarmingsinstallatie en het systeem voor warmwatervoorziening</w:t>
      </w:r>
    </w:p>
    <w:p w:rsidR="009A225F" w:rsidRPr="009A225F" w:rsidRDefault="009A225F" w:rsidP="009A225F">
      <w:pPr>
        <w:numPr>
          <w:ilvl w:val="0"/>
          <w:numId w:val="2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oriëntatie en bezonning</w:t>
      </w:r>
    </w:p>
    <w:p w:rsidR="009A225F" w:rsidRPr="009A225F" w:rsidRDefault="009A225F" w:rsidP="009A225F">
      <w:pPr>
        <w:numPr>
          <w:ilvl w:val="0"/>
          <w:numId w:val="2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koelinstallatie</w:t>
      </w:r>
    </w:p>
    <w:p w:rsidR="009A225F" w:rsidRPr="009A225F" w:rsidRDefault="009A225F" w:rsidP="009A225F">
      <w:pPr>
        <w:numPr>
          <w:ilvl w:val="0"/>
          <w:numId w:val="2"/>
        </w:numPr>
        <w:spacing w:before="100" w:beforeAutospacing="1" w:after="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verlichtingsinstallatie (enkel bij kantoren en scholen).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lastRenderedPageBreak/>
        <w:t xml:space="preserve">Deze vermindering kan worden </w:t>
      </w:r>
      <w:proofErr w:type="spellStart"/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geombineerd</w:t>
      </w:r>
      <w:proofErr w:type="spellEnd"/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 xml:space="preserve"> met andere verminderingen van de onroerende voorheffing zoals de </w:t>
      </w:r>
      <w:hyperlink r:id="rId9" w:history="1">
        <w:r w:rsidRPr="009A225F">
          <w:rPr>
            <w:rFonts w:ascii="flanders-sans" w:eastAsia="Times New Roman" w:hAnsi="flanders-sans" w:cs="Times New Roman"/>
            <w:color w:val="557797"/>
            <w:sz w:val="27"/>
            <w:szCs w:val="27"/>
            <w:u w:val="single"/>
            <w:lang w:eastAsia="nl-BE"/>
          </w:rPr>
          <w:t>vermindering voor kinderbijslaggerechtigde kinderen</w:t>
        </w:r>
      </w:hyperlink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, de </w:t>
      </w:r>
      <w:hyperlink r:id="rId10" w:history="1">
        <w:r w:rsidRPr="009A225F">
          <w:rPr>
            <w:rFonts w:ascii="flanders-sans" w:eastAsia="Times New Roman" w:hAnsi="flanders-sans" w:cs="Times New Roman"/>
            <w:color w:val="557797"/>
            <w:sz w:val="27"/>
            <w:szCs w:val="27"/>
            <w:u w:val="single"/>
            <w:lang w:eastAsia="nl-BE"/>
          </w:rPr>
          <w:t>vermindering voor personen met een handicap</w:t>
        </w:r>
      </w:hyperlink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en de </w:t>
      </w:r>
      <w:hyperlink r:id="rId11" w:history="1">
        <w:r w:rsidRPr="009A225F">
          <w:rPr>
            <w:rFonts w:ascii="flanders-sans" w:eastAsia="Times New Roman" w:hAnsi="flanders-sans" w:cs="Times New Roman"/>
            <w:color w:val="557797"/>
            <w:sz w:val="27"/>
            <w:szCs w:val="27"/>
            <w:u w:val="single"/>
            <w:lang w:eastAsia="nl-BE"/>
          </w:rPr>
          <w:t>vermindering voor bescheiden woning</w:t>
        </w:r>
      </w:hyperlink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.</w:t>
      </w:r>
    </w:p>
    <w:p w:rsidR="009A225F" w:rsidRPr="009A225F" w:rsidRDefault="009A225F" w:rsidP="009A225F">
      <w:pPr>
        <w:spacing w:before="600" w:after="249" w:line="270" w:lineRule="atLeast"/>
        <w:outlineLvl w:val="1"/>
        <w:rPr>
          <w:rFonts w:ascii="flanders-serif-medium" w:eastAsia="Times New Roman" w:hAnsi="flanders-serif-medium" w:cs="Times New Roman"/>
          <w:color w:val="333333"/>
          <w:sz w:val="36"/>
          <w:szCs w:val="36"/>
          <w:lang w:eastAsia="nl-BE"/>
        </w:rPr>
      </w:pPr>
      <w:r w:rsidRPr="009A225F">
        <w:rPr>
          <w:rFonts w:ascii="flanders-serif-medium" w:eastAsia="Times New Roman" w:hAnsi="flanders-serif-medium" w:cs="Times New Roman"/>
          <w:color w:val="333333"/>
          <w:sz w:val="36"/>
          <w:szCs w:val="36"/>
          <w:lang w:eastAsia="nl-BE"/>
        </w:rPr>
        <w:t>Voorwaarden</w:t>
      </w:r>
    </w:p>
    <w:p w:rsidR="009A225F" w:rsidRPr="009A225F" w:rsidRDefault="009A225F" w:rsidP="009A225F">
      <w:pPr>
        <w:numPr>
          <w:ilvl w:val="0"/>
          <w:numId w:val="3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Het toegekende E-peil moet betrekking hebben op het volledige gebouw/woning.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br/>
        <w:t> </w:t>
      </w:r>
    </w:p>
    <w:p w:rsidR="009A225F" w:rsidRPr="009A225F" w:rsidRDefault="009A225F" w:rsidP="009A225F">
      <w:pPr>
        <w:numPr>
          <w:ilvl w:val="0"/>
          <w:numId w:val="3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vermindering kan enkel toegekend worden voor:</w:t>
      </w:r>
    </w:p>
    <w:p w:rsidR="009A225F" w:rsidRPr="009A225F" w:rsidRDefault="009A225F" w:rsidP="009A225F">
      <w:pPr>
        <w:numPr>
          <w:ilvl w:val="1"/>
          <w:numId w:val="3"/>
        </w:numPr>
        <w:spacing w:before="100" w:beforeAutospacing="1" w:after="120" w:line="405" w:lineRule="atLeast"/>
        <w:ind w:left="3277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nieuwbouw (een nieuw gebouw met een stedenbouwkundige vergunning verkregen na 1 januari 2006 en met EPB-aangifte bij het Vlaamse Energieagentschap (VEA) vanaf 1 januari 2008)</w:t>
      </w:r>
    </w:p>
    <w:p w:rsidR="009A225F" w:rsidRPr="009A225F" w:rsidRDefault="009A225F" w:rsidP="009A225F">
      <w:pPr>
        <w:numPr>
          <w:ilvl w:val="1"/>
          <w:numId w:val="3"/>
        </w:numPr>
        <w:spacing w:before="100" w:beforeAutospacing="1" w:after="120" w:line="405" w:lineRule="atLeast"/>
        <w:ind w:left="3277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herbouw na volledige afbraak</w:t>
      </w:r>
    </w:p>
    <w:p w:rsidR="009A225F" w:rsidRPr="009A225F" w:rsidRDefault="009A225F" w:rsidP="009A225F">
      <w:pPr>
        <w:numPr>
          <w:ilvl w:val="1"/>
          <w:numId w:val="3"/>
        </w:numPr>
        <w:spacing w:before="100" w:beforeAutospacing="1" w:after="0" w:line="405" w:lineRule="atLeast"/>
        <w:ind w:left="3277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casco verbouwing (=een specifiek type verbouwing van een gebouw groter dan 3000 m³ waarvan de HVAC-installaties en 75% van de gevels vervangen worden).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br/>
        <w:t> </w:t>
      </w:r>
    </w:p>
    <w:p w:rsidR="009A225F" w:rsidRPr="009A225F" w:rsidRDefault="009A225F" w:rsidP="009A225F">
      <w:pPr>
        <w:numPr>
          <w:ilvl w:val="0"/>
          <w:numId w:val="3"/>
        </w:numPr>
        <w:spacing w:before="100" w:beforeAutospacing="1" w:after="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U kunt een vermindering krijgen voor gebouwen met het volgende E-peil:</w: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2134"/>
        <w:gridCol w:w="1881"/>
        <w:gridCol w:w="1268"/>
      </w:tblGrid>
      <w:tr w:rsidR="009A225F" w:rsidRPr="009A225F" w:rsidTr="009A225F">
        <w:trPr>
          <w:tblHeader/>
        </w:trPr>
        <w:tc>
          <w:tcPr>
            <w:tcW w:w="0" w:type="auto"/>
            <w:tcBorders>
              <w:bottom w:val="single" w:sz="18" w:space="0" w:color="CBD2DA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flanders-sans-medium" w:eastAsia="Times New Roman" w:hAnsi="flanders-sans-medium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flanders-sans-medium" w:eastAsia="Times New Roman" w:hAnsi="flanders-sans-medium" w:cs="Times New Roman"/>
                <w:sz w:val="24"/>
                <w:szCs w:val="24"/>
                <w:lang w:eastAsia="nl-BE"/>
              </w:rPr>
              <w:t>Aanvraag stedenbouwkundige vergunning</w:t>
            </w:r>
          </w:p>
        </w:tc>
        <w:tc>
          <w:tcPr>
            <w:tcW w:w="0" w:type="auto"/>
            <w:tcBorders>
              <w:bottom w:val="single" w:sz="18" w:space="0" w:color="CBD2DA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flanders-sans-medium" w:eastAsia="Times New Roman" w:hAnsi="flanders-sans-medium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flanders-sans-medium" w:eastAsia="Times New Roman" w:hAnsi="flanders-sans-medium" w:cs="Times New Roman"/>
                <w:sz w:val="24"/>
                <w:szCs w:val="24"/>
                <w:lang w:eastAsia="nl-BE"/>
              </w:rPr>
              <w:t>E-peil</w:t>
            </w:r>
          </w:p>
        </w:tc>
        <w:tc>
          <w:tcPr>
            <w:tcW w:w="0" w:type="auto"/>
            <w:tcBorders>
              <w:bottom w:val="single" w:sz="18" w:space="0" w:color="CBD2DA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flanders-sans-medium" w:eastAsia="Times New Roman" w:hAnsi="flanders-sans-medium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flanders-sans-medium" w:eastAsia="Times New Roman" w:hAnsi="flanders-sans-medium" w:cs="Times New Roman"/>
                <w:sz w:val="24"/>
                <w:szCs w:val="24"/>
                <w:lang w:eastAsia="nl-BE"/>
              </w:rPr>
              <w:t>Vermindering</w:t>
            </w:r>
          </w:p>
        </w:tc>
        <w:tc>
          <w:tcPr>
            <w:tcW w:w="0" w:type="auto"/>
            <w:tcBorders>
              <w:bottom w:val="single" w:sz="18" w:space="0" w:color="CBD2DA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flanders-sans-medium" w:eastAsia="Times New Roman" w:hAnsi="flanders-sans-medium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flanders-sans-medium" w:eastAsia="Times New Roman" w:hAnsi="flanders-sans-medium" w:cs="Times New Roman"/>
                <w:sz w:val="24"/>
                <w:szCs w:val="24"/>
                <w:lang w:eastAsia="nl-BE"/>
              </w:rPr>
              <w:t>Periode</w:t>
            </w:r>
          </w:p>
        </w:tc>
      </w:tr>
      <w:tr w:rsidR="009A225F" w:rsidRPr="009A225F" w:rsidTr="009A225F">
        <w:tc>
          <w:tcPr>
            <w:tcW w:w="0" w:type="auto"/>
            <w:vMerge w:val="restart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voor 1/1/2013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&lt; of = E60 of E70*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20%</w:t>
            </w:r>
          </w:p>
        </w:tc>
        <w:tc>
          <w:tcPr>
            <w:tcW w:w="0" w:type="auto"/>
            <w:tcBorders>
              <w:bottom w:val="single" w:sz="18" w:space="0" w:color="FFFFFF"/>
              <w:right w:val="nil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10 jaar</w:t>
            </w:r>
          </w:p>
        </w:tc>
      </w:tr>
      <w:tr w:rsidR="009A225F" w:rsidRPr="009A225F" w:rsidTr="009A225F">
        <w:tc>
          <w:tcPr>
            <w:tcW w:w="0" w:type="auto"/>
            <w:vMerge/>
            <w:tcBorders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&lt; of = E40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40%</w:t>
            </w:r>
          </w:p>
        </w:tc>
        <w:tc>
          <w:tcPr>
            <w:tcW w:w="0" w:type="auto"/>
            <w:tcBorders>
              <w:bottom w:val="single" w:sz="18" w:space="0" w:color="FFFFFF"/>
              <w:right w:val="nil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10 jaar</w:t>
            </w:r>
          </w:p>
        </w:tc>
      </w:tr>
      <w:tr w:rsidR="009A225F" w:rsidRPr="009A225F" w:rsidTr="009A225F">
        <w:tc>
          <w:tcPr>
            <w:tcW w:w="0" w:type="auto"/>
            <w:vMerge w:val="restart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tussen 1/1/2013 en 31/12/2013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&lt; of = E50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50%</w:t>
            </w:r>
          </w:p>
        </w:tc>
        <w:tc>
          <w:tcPr>
            <w:tcW w:w="0" w:type="auto"/>
            <w:tcBorders>
              <w:bottom w:val="single" w:sz="18" w:space="0" w:color="FFFFFF"/>
              <w:right w:val="nil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 jaar</w:t>
            </w:r>
          </w:p>
        </w:tc>
      </w:tr>
      <w:tr w:rsidR="009A225F" w:rsidRPr="009A225F" w:rsidTr="009A225F">
        <w:tc>
          <w:tcPr>
            <w:tcW w:w="0" w:type="auto"/>
            <w:vMerge/>
            <w:tcBorders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&lt; of = E30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100%</w:t>
            </w:r>
          </w:p>
        </w:tc>
        <w:tc>
          <w:tcPr>
            <w:tcW w:w="0" w:type="auto"/>
            <w:tcBorders>
              <w:bottom w:val="single" w:sz="18" w:space="0" w:color="FFFFFF"/>
              <w:right w:val="nil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 jaar</w:t>
            </w:r>
          </w:p>
        </w:tc>
      </w:tr>
      <w:tr w:rsidR="009A225F" w:rsidRPr="009A225F" w:rsidTr="009A225F">
        <w:tc>
          <w:tcPr>
            <w:tcW w:w="0" w:type="auto"/>
            <w:vMerge w:val="restart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vanaf 1/1/2014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&lt; of = E40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50%</w:t>
            </w:r>
          </w:p>
        </w:tc>
        <w:tc>
          <w:tcPr>
            <w:tcW w:w="0" w:type="auto"/>
            <w:tcBorders>
              <w:bottom w:val="single" w:sz="18" w:space="0" w:color="FFFFFF"/>
              <w:right w:val="nil"/>
            </w:tcBorders>
            <w:shd w:val="clear" w:color="auto" w:fill="E8EBEE"/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 jaar</w:t>
            </w:r>
          </w:p>
        </w:tc>
      </w:tr>
      <w:tr w:rsidR="009A225F" w:rsidRPr="009A225F" w:rsidTr="009A225F">
        <w:tc>
          <w:tcPr>
            <w:tcW w:w="0" w:type="auto"/>
            <w:vMerge/>
            <w:tcBorders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&lt; of = E30</w:t>
            </w:r>
          </w:p>
        </w:tc>
        <w:tc>
          <w:tcPr>
            <w:tcW w:w="0" w:type="auto"/>
            <w:tcBorders>
              <w:bottom w:val="single" w:sz="18" w:space="0" w:color="FFFFFF"/>
              <w:right w:val="single" w:sz="18" w:space="0" w:color="FFFFFF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100%</w:t>
            </w:r>
          </w:p>
        </w:tc>
        <w:tc>
          <w:tcPr>
            <w:tcW w:w="0" w:type="auto"/>
            <w:tcBorders>
              <w:bottom w:val="single" w:sz="18" w:space="0" w:color="FFFFFF"/>
              <w:right w:val="nil"/>
            </w:tcBorders>
            <w:tcMar>
              <w:top w:w="267" w:type="dxa"/>
              <w:left w:w="267" w:type="dxa"/>
              <w:bottom w:w="267" w:type="dxa"/>
              <w:right w:w="267" w:type="dxa"/>
            </w:tcMar>
            <w:vAlign w:val="center"/>
            <w:hideMark/>
          </w:tcPr>
          <w:p w:rsidR="009A225F" w:rsidRPr="009A225F" w:rsidRDefault="009A225F" w:rsidP="009A225F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225F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 jaar</w:t>
            </w:r>
          </w:p>
        </w:tc>
      </w:tr>
    </w:tbl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*E60 voor een woning en E70 voor een gebouw dat geen woning is (vb. een kantoor)</w:t>
      </w:r>
    </w:p>
    <w:p w:rsidR="009A225F" w:rsidRPr="009A225F" w:rsidRDefault="009A225F" w:rsidP="009A225F">
      <w:pPr>
        <w:spacing w:before="600" w:after="249" w:line="270" w:lineRule="atLeast"/>
        <w:outlineLvl w:val="1"/>
        <w:rPr>
          <w:rFonts w:ascii="flanders-serif-medium" w:eastAsia="Times New Roman" w:hAnsi="flanders-serif-medium" w:cs="Times New Roman"/>
          <w:color w:val="333333"/>
          <w:sz w:val="36"/>
          <w:szCs w:val="36"/>
          <w:lang w:eastAsia="nl-BE"/>
        </w:rPr>
      </w:pPr>
      <w:r w:rsidRPr="009A225F">
        <w:rPr>
          <w:rFonts w:ascii="flanders-serif-medium" w:eastAsia="Times New Roman" w:hAnsi="flanders-serif-medium" w:cs="Times New Roman"/>
          <w:color w:val="333333"/>
          <w:sz w:val="36"/>
          <w:szCs w:val="36"/>
          <w:lang w:eastAsia="nl-BE"/>
        </w:rPr>
        <w:t>Procedure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U krijgt de vermindering in principe voor een periode van tien jaar.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Sinds 1 januari 2013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krijgt u een hogere vermindering op een kortere periode. De vermindering geldt dan voor een periode van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vijf jaar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lastRenderedPageBreak/>
        <w:t>De vermindering wordt toegekend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vanaf het aanslagjaar dat volgt op het jaar waarin het E-peil wordt toegekend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. De termijn van 5 jaar, gedurende welke u de hogere vermindering krijgt, kon dus ten vroegste starten in het aanslagjaar 2014, omdat de nieuwe regeling van toepassing is op stedenbouwkundige vergunningen die aangevraagd zijn sinds 2013.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De eigenaar hoeft niet gedomicilieerd te zijn in de woning of het gebouw. Het kan hier dus ook gaan om een tweede verblijf.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Als de woning van eigenaar verandert, dan kan ook de nieuwe eigenaar voor de rest van de termijn de vermindering genieten.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Als een onroerend goed in aanmerking komt voor deze vermindering van de onroerende voorheffing, zal de vermindering automatisch toegekend worden op het aanslagbiljet. Als dit niet het geval is, maar u meent dat u toch recht hebt op deze vermindering, moet u een bezwaarschrift indienen bij de Vlaamse Belastingdienst.</w:t>
      </w:r>
    </w:p>
    <w:p w:rsidR="009A225F" w:rsidRPr="009A225F" w:rsidRDefault="009A225F" w:rsidP="009A225F">
      <w:pPr>
        <w:spacing w:before="600" w:after="249" w:line="270" w:lineRule="atLeast"/>
        <w:outlineLvl w:val="1"/>
        <w:rPr>
          <w:rFonts w:ascii="flanders-serif-medium" w:eastAsia="Times New Roman" w:hAnsi="flanders-serif-medium" w:cs="Times New Roman"/>
          <w:color w:val="333333"/>
          <w:sz w:val="36"/>
          <w:szCs w:val="36"/>
          <w:lang w:eastAsia="nl-BE"/>
        </w:rPr>
      </w:pPr>
      <w:r w:rsidRPr="009A225F">
        <w:rPr>
          <w:rFonts w:ascii="flanders-serif-medium" w:eastAsia="Times New Roman" w:hAnsi="flanders-serif-medium" w:cs="Times New Roman"/>
          <w:color w:val="333333"/>
          <w:sz w:val="36"/>
          <w:szCs w:val="36"/>
          <w:lang w:eastAsia="nl-BE"/>
        </w:rPr>
        <w:t>Bedrag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In Vlaanderen kunt u sinds het aanslagjaar 2009 een vermindering van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20% of 40%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krijgen voor energiezuinige nieuwbouwwoningen.</w:t>
      </w:r>
    </w:p>
    <w:p w:rsidR="009A225F" w:rsidRPr="009A225F" w:rsidRDefault="009A225F" w:rsidP="009A225F">
      <w:pPr>
        <w:spacing w:before="240" w:after="240" w:line="405" w:lineRule="atLeast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Sinds 1 januari 2013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is het financieel voordeel groter, maar tegelijkertijd worden de voorwaarden ook strenger:</w:t>
      </w:r>
    </w:p>
    <w:p w:rsidR="009A225F" w:rsidRPr="009A225F" w:rsidRDefault="009A225F" w:rsidP="009A225F">
      <w:pPr>
        <w:numPr>
          <w:ilvl w:val="0"/>
          <w:numId w:val="4"/>
        </w:numPr>
        <w:spacing w:before="100" w:beforeAutospacing="1" w:after="12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korting van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50%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op de onroerende voorheffing bij een E-peil van max E50 en dit gedurende 5 jaar (en maximum E40 voor bouwaanvragen vanaf 2014).</w:t>
      </w:r>
    </w:p>
    <w:p w:rsidR="009A225F" w:rsidRPr="009A225F" w:rsidRDefault="009A225F" w:rsidP="009A225F">
      <w:pPr>
        <w:numPr>
          <w:ilvl w:val="0"/>
          <w:numId w:val="4"/>
        </w:numPr>
        <w:spacing w:before="100" w:beforeAutospacing="1" w:after="0" w:line="405" w:lineRule="atLeast"/>
        <w:ind w:left="2944"/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</w:pP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korting van </w:t>
      </w:r>
      <w:r w:rsidRPr="009A225F">
        <w:rPr>
          <w:rFonts w:ascii="flanders-sans-medium" w:eastAsia="Times New Roman" w:hAnsi="flanders-sans-medium" w:cs="Times New Roman"/>
          <w:color w:val="333333"/>
          <w:sz w:val="27"/>
          <w:szCs w:val="27"/>
          <w:lang w:eastAsia="nl-BE"/>
        </w:rPr>
        <w:t>100%</w:t>
      </w:r>
      <w:r w:rsidRPr="009A225F">
        <w:rPr>
          <w:rFonts w:ascii="flanders-sans" w:eastAsia="Times New Roman" w:hAnsi="flanders-sans" w:cs="Times New Roman"/>
          <w:color w:val="333333"/>
          <w:sz w:val="27"/>
          <w:szCs w:val="27"/>
          <w:lang w:eastAsia="nl-BE"/>
        </w:rPr>
        <w:t> op de onroerende voorheffing bij een E-peil van max E30 en dit gedurende 5 jaar.</w:t>
      </w:r>
    </w:p>
    <w:p w:rsidR="00BC3E47" w:rsidRDefault="00BC3E47">
      <w:bookmarkStart w:id="0" w:name="_GoBack"/>
      <w:bookmarkEnd w:id="0"/>
    </w:p>
    <w:sectPr w:rsidR="00BC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flanders-serif-light">
    <w:altName w:val="Times New Roman"/>
    <w:panose1 w:val="00000000000000000000"/>
    <w:charset w:val="00"/>
    <w:family w:val="roman"/>
    <w:notTrueType/>
    <w:pitch w:val="default"/>
  </w:font>
  <w:font w:name="flanders-sans">
    <w:altName w:val="Times New Roman"/>
    <w:panose1 w:val="00000000000000000000"/>
    <w:charset w:val="00"/>
    <w:family w:val="roman"/>
    <w:notTrueType/>
    <w:pitch w:val="default"/>
  </w:font>
  <w:font w:name="flanders-sans-medium">
    <w:altName w:val="Times New Roman"/>
    <w:panose1 w:val="00000000000000000000"/>
    <w:charset w:val="00"/>
    <w:family w:val="roman"/>
    <w:notTrueType/>
    <w:pitch w:val="default"/>
  </w:font>
  <w:font w:name="flanders-serif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A1C73"/>
    <w:multiLevelType w:val="multilevel"/>
    <w:tmpl w:val="32A4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B3902"/>
    <w:multiLevelType w:val="multilevel"/>
    <w:tmpl w:val="766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B0F81"/>
    <w:multiLevelType w:val="multilevel"/>
    <w:tmpl w:val="E07C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83971"/>
    <w:multiLevelType w:val="multilevel"/>
    <w:tmpl w:val="C0CA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5F"/>
    <w:rsid w:val="009A225F"/>
    <w:rsid w:val="00B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7D80D-7F25-4455-BFA3-1E66FC80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A2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link w:val="Kop2Char"/>
    <w:uiPriority w:val="9"/>
    <w:qFormat/>
    <w:rsid w:val="009A2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225F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A225F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element-invisible">
    <w:name w:val="element-invisible"/>
    <w:basedOn w:val="Standaardalinea-lettertype"/>
    <w:rsid w:val="009A225F"/>
  </w:style>
  <w:style w:type="character" w:styleId="Hyperlink">
    <w:name w:val="Hyperlink"/>
    <w:basedOn w:val="Standaardalinea-lettertype"/>
    <w:uiPriority w:val="99"/>
    <w:semiHidden/>
    <w:unhideWhenUsed/>
    <w:rsid w:val="009A225F"/>
    <w:rPr>
      <w:color w:val="0000FF"/>
      <w:u w:val="single"/>
    </w:rPr>
  </w:style>
  <w:style w:type="character" w:customStyle="1" w:styleId="rsskip">
    <w:name w:val="rs_skip"/>
    <w:basedOn w:val="Standaardalinea-lettertype"/>
    <w:rsid w:val="009A225F"/>
  </w:style>
  <w:style w:type="paragraph" w:styleId="Normaalweb">
    <w:name w:val="Normal (Web)"/>
    <w:basedOn w:val="Standaard"/>
    <w:uiPriority w:val="99"/>
    <w:semiHidden/>
    <w:unhideWhenUsed/>
    <w:rsid w:val="009A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converted-space">
    <w:name w:val="apple-converted-space"/>
    <w:basedOn w:val="Standaardalinea-lettertype"/>
    <w:rsid w:val="009A225F"/>
  </w:style>
  <w:style w:type="character" w:styleId="Zwaar">
    <w:name w:val="Strong"/>
    <w:basedOn w:val="Standaardalinea-lettertype"/>
    <w:uiPriority w:val="22"/>
    <w:qFormat/>
    <w:rsid w:val="009A2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59551">
              <w:marLeft w:val="461"/>
              <w:marRight w:val="-15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0188">
                              <w:marLeft w:val="2944"/>
                              <w:marRight w:val="-15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95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780">
                              <w:marLeft w:val="2944"/>
                              <w:marRight w:val="-15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73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8139">
                              <w:marLeft w:val="2944"/>
                              <w:marRight w:val="-15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3205">
                              <w:marLeft w:val="2944"/>
                              <w:marRight w:val="-15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6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2558">
                              <w:marLeft w:val="2944"/>
                              <w:marRight w:val="-15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readspeaker.com/cgi-bin/rsent?customerid=4612&amp;lang=nl_be&amp;url=http%3A//www.vlaanderen.be/nl/bouwen-wonen-en-energie/kopen-en-verkopen/vermindering-van-de-onroerende-voorheffing-voor-een-energiezuinige-nieuwbouwwon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laanderen.be/nl/bouwen-wonen-en-energ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anderen.be/nl/bouwen-wonen-en-energie" TargetMode="External"/><Relationship Id="rId11" Type="http://schemas.openxmlformats.org/officeDocument/2006/relationships/hyperlink" Target="http://www.vlaanderen.be/nl/bouwen-wonen-en-energie/kopen-en-verkopen/vermindering-van-de-onroerende-voorheffing-voor-bescheiden-woning" TargetMode="External"/><Relationship Id="rId5" Type="http://schemas.openxmlformats.org/officeDocument/2006/relationships/hyperlink" Target="http://www.vlaanderen.be/nl" TargetMode="External"/><Relationship Id="rId10" Type="http://schemas.openxmlformats.org/officeDocument/2006/relationships/hyperlink" Target="http://www.vlaanderen.be/nl/bouwen-wonen-en-energie/kopen-en-verkopen/vermindering-van-de-onroerende-voorheffing-voor-personen-met-een-handic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anderen.be/nl/bouwen-wonen-en-energie/kopen-en-verkopen/vermindering-van-de-onroerende-voorheffing-voor-kinderbijslaggerechtigde-kinder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Zwijsen</dc:creator>
  <cp:keywords/>
  <dc:description/>
  <cp:lastModifiedBy>Frédérique Zwijsen</cp:lastModifiedBy>
  <cp:revision>1</cp:revision>
  <dcterms:created xsi:type="dcterms:W3CDTF">2015-10-14T13:47:00Z</dcterms:created>
  <dcterms:modified xsi:type="dcterms:W3CDTF">2015-10-14T13:48:00Z</dcterms:modified>
</cp:coreProperties>
</file>